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52" w:rsidRPr="001C3C52" w:rsidRDefault="00583DEF" w:rsidP="001C3C52">
      <w:pPr>
        <w:spacing w:after="0" w:line="240" w:lineRule="auto"/>
        <w:ind w:right="-16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1C3C52" w:rsidRPr="001C3C52">
        <w:rPr>
          <w:rFonts w:ascii="Times New Roman" w:hAnsi="Times New Roman" w:cs="Times New Roman"/>
          <w:i/>
          <w:sz w:val="28"/>
          <w:szCs w:val="28"/>
          <w:lang w:val="uk-UA"/>
        </w:rPr>
        <w:t>роект</w:t>
      </w:r>
    </w:p>
    <w:p w:rsidR="006D315B" w:rsidRPr="00EA7EBF" w:rsidRDefault="006D315B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pacing w:val="40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pacing w:val="40"/>
          <w:sz w:val="28"/>
          <w:szCs w:val="28"/>
          <w:lang w:val="uk-UA"/>
        </w:rPr>
        <w:t>СТРАТЕГІЯ</w:t>
      </w:r>
    </w:p>
    <w:p w:rsidR="00AC2806" w:rsidRPr="00EA7EBF" w:rsidRDefault="00AC2806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4616E8" w:rsidRPr="00EA7EBF">
        <w:rPr>
          <w:rFonts w:ascii="Times New Roman" w:hAnsi="Times New Roman" w:cs="Times New Roman"/>
          <w:sz w:val="28"/>
          <w:szCs w:val="28"/>
          <w:lang w:val="uk-UA"/>
        </w:rPr>
        <w:t>спортивних споруд Комітету з фізичного виховання</w:t>
      </w:r>
    </w:p>
    <w:p w:rsidR="004616E8" w:rsidRPr="00EA7EBF" w:rsidRDefault="004616E8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та спорту Міністерства освіти і науки України</w:t>
      </w:r>
      <w:r w:rsidR="004D2E13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до 2025 року</w:t>
      </w:r>
    </w:p>
    <w:p w:rsidR="006D315B" w:rsidRPr="00EA7EBF" w:rsidRDefault="006D315B" w:rsidP="006C644A">
      <w:pPr>
        <w:spacing w:after="0" w:line="240" w:lineRule="auto"/>
        <w:ind w:right="-16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70457" w:rsidRPr="00EA7EBF" w:rsidRDefault="00B70457" w:rsidP="006C644A">
      <w:pPr>
        <w:spacing w:after="0" w:line="240" w:lineRule="auto"/>
        <w:ind w:right="-16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778F3" w:rsidRPr="00EA7EBF" w:rsidRDefault="006778F3" w:rsidP="006C644A">
      <w:pPr>
        <w:spacing w:after="0" w:line="240" w:lineRule="auto"/>
        <w:ind w:right="-16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D2742" w:rsidRPr="00EA7EBF" w:rsidRDefault="006D315B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237863" w:rsidRPr="00EA7EBF" w:rsidRDefault="00237863" w:rsidP="006C644A">
      <w:pPr>
        <w:spacing w:after="0" w:line="240" w:lineRule="auto"/>
        <w:ind w:right="-16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D315B" w:rsidRPr="00EA7EBF" w:rsidRDefault="006D315B" w:rsidP="006C644A">
      <w:pPr>
        <w:tabs>
          <w:tab w:val="left" w:pos="851"/>
        </w:tabs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розвитку </w:t>
      </w:r>
      <w:r w:rsidR="004616E8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споруд Комітету з фізичного виховання та спорту Міністерства освіти і науки України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(далі – Стратегія) на основі результатів аналізу </w:t>
      </w:r>
      <w:r w:rsidR="004616E8" w:rsidRPr="00EA7EBF">
        <w:rPr>
          <w:rFonts w:ascii="Times New Roman" w:hAnsi="Times New Roman" w:cs="Times New Roman"/>
          <w:sz w:val="28"/>
          <w:szCs w:val="28"/>
          <w:lang w:val="uk-UA"/>
        </w:rPr>
        <w:t>вітчизняного та світового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досвіду</w:t>
      </w:r>
      <w:r w:rsidR="004616E8" w:rsidRPr="00EA7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стану </w:t>
      </w:r>
      <w:r w:rsidR="00374909" w:rsidRPr="00EA7EBF">
        <w:rPr>
          <w:rFonts w:ascii="Times New Roman" w:hAnsi="Times New Roman" w:cs="Times New Roman"/>
          <w:sz w:val="28"/>
          <w:szCs w:val="28"/>
          <w:lang w:val="uk-UA"/>
        </w:rPr>
        <w:t>спортивних споруд Комітету з фізичного виховання та спорту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="00163E0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Комітет)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визначає мету та основні завдання, спрямовані на</w:t>
      </w:r>
      <w:r w:rsidR="00DB2898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систематизацію роботи з реалізації державної політики щодо розвитку сфери фізичної культури і спорту, поліпшення стану її матеріально-технічного забезпечення,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74909" w:rsidRPr="00EA7EBF">
        <w:rPr>
          <w:rFonts w:ascii="Times New Roman" w:hAnsi="Times New Roman" w:cs="Times New Roman"/>
          <w:sz w:val="28"/>
          <w:szCs w:val="28"/>
          <w:lang w:val="uk-UA"/>
        </w:rPr>
        <w:t>творення сприятливих умов для зміцнення здоров’я громадян, оздоровчої рухової активності та здоров</w:t>
      </w:r>
      <w:r w:rsidR="00CF5DBE" w:rsidRPr="00EA7EB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74909" w:rsidRPr="00EA7EBF">
        <w:rPr>
          <w:rFonts w:ascii="Times New Roman" w:hAnsi="Times New Roman" w:cs="Times New Roman"/>
          <w:sz w:val="28"/>
          <w:szCs w:val="28"/>
          <w:lang w:val="uk-UA"/>
        </w:rPr>
        <w:t>го способу життя.</w:t>
      </w:r>
    </w:p>
    <w:p w:rsidR="00237863" w:rsidRPr="00EA7EBF" w:rsidRDefault="00237863" w:rsidP="006C644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8F3" w:rsidRPr="00EA7EBF" w:rsidRDefault="006778F3" w:rsidP="006C644A">
      <w:pPr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15B" w:rsidRPr="00EA7EBF" w:rsidRDefault="00290418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</w:rPr>
        <w:t>II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. Аналіз сучасного стану</w:t>
      </w:r>
    </w:p>
    <w:p w:rsidR="00237863" w:rsidRPr="00EA7EBF" w:rsidRDefault="00237863" w:rsidP="006C644A">
      <w:pPr>
        <w:spacing w:after="0" w:line="240" w:lineRule="auto"/>
        <w:ind w:right="-1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2B4" w:rsidRPr="00EA7EBF" w:rsidRDefault="009E22B4" w:rsidP="006C644A">
      <w:pPr>
        <w:tabs>
          <w:tab w:val="left" w:pos="993"/>
        </w:tabs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На сьогодні в Комітеті діють 23 спортивні споруди, з них:</w:t>
      </w:r>
    </w:p>
    <w:p w:rsidR="007E6D66" w:rsidRPr="00EA7EBF" w:rsidRDefault="009E22B4" w:rsidP="006C644A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6 спортивних споруд, підпорядковані </w:t>
      </w:r>
      <w:r w:rsidR="00BB5443" w:rsidRPr="00EA7EBF">
        <w:rPr>
          <w:rFonts w:ascii="Times New Roman" w:hAnsi="Times New Roman" w:cs="Times New Roman"/>
          <w:sz w:val="28"/>
          <w:szCs w:val="28"/>
          <w:lang w:val="uk-UA"/>
        </w:rPr>
        <w:t>Комітету, як відокремлені підрозділи (філії)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E6D6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2B4" w:rsidRPr="00EA7EBF" w:rsidRDefault="009E22B4" w:rsidP="006C644A">
      <w:pPr>
        <w:pStyle w:val="aa"/>
        <w:numPr>
          <w:ilvl w:val="0"/>
          <w:numId w:val="17"/>
        </w:numPr>
        <w:tabs>
          <w:tab w:val="left" w:pos="993"/>
        </w:tabs>
        <w:spacing w:after="0" w:line="240" w:lineRule="auto"/>
        <w:ind w:right="-1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17 спортивних споруд обласних відділень (філій)</w:t>
      </w:r>
      <w:r w:rsidR="00F326F9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Комітету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6D5" w:rsidRPr="00EA7EBF" w:rsidRDefault="007E6D66" w:rsidP="006C644A">
      <w:pPr>
        <w:tabs>
          <w:tab w:val="left" w:pos="993"/>
        </w:tabs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Спортивні споруди, у свою чергу, ск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>ладаються з 62 окремих приміщень</w:t>
      </w:r>
      <w:r w:rsidR="004A786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(детальний перелік у додатку 1).</w:t>
      </w:r>
    </w:p>
    <w:p w:rsidR="00722CD5" w:rsidRPr="00EA7EBF" w:rsidRDefault="00A83912" w:rsidP="006C644A">
      <w:pPr>
        <w:tabs>
          <w:tab w:val="left" w:pos="1134"/>
        </w:tabs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163E0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17 році працівниками Комітету </w:t>
      </w:r>
      <w:r w:rsidR="00E5549B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інспекції </w:t>
      </w:r>
      <w:r w:rsidR="00C0399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7E6D6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="00462573" w:rsidRPr="00EA7EBF"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C0399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Комітету (детальний перелік у додатку 2).</w:t>
      </w:r>
    </w:p>
    <w:p w:rsidR="004106D5" w:rsidRPr="00EA7EBF" w:rsidRDefault="00A83912" w:rsidP="006C644A">
      <w:pPr>
        <w:tabs>
          <w:tab w:val="left" w:pos="1134"/>
        </w:tabs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</w:t>
      </w:r>
      <w:r w:rsidR="00E05B63" w:rsidRPr="00EA7EB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визначено, що б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 w:rsidR="007E6D6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>споруд знаходяться в аварійному стані, а саме:</w:t>
      </w:r>
    </w:p>
    <w:p w:rsidR="004106D5" w:rsidRPr="00EA7EBF" w:rsidRDefault="004106D5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капітального ремонту </w:t>
      </w:r>
      <w:r w:rsidR="007E6D66" w:rsidRPr="00EA7EBF">
        <w:rPr>
          <w:rFonts w:ascii="Times New Roman" w:hAnsi="Times New Roman" w:cs="Times New Roman"/>
          <w:sz w:val="28"/>
          <w:szCs w:val="28"/>
          <w:lang w:val="uk-UA"/>
        </w:rPr>
        <w:t>спортивних споруд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15-25 років;</w:t>
      </w:r>
    </w:p>
    <w:p w:rsidR="0066049C" w:rsidRPr="00EA7EBF" w:rsidRDefault="0066049C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невідповідність міжнародним нормам та стандартам для проведення спортивно-масових заходів;</w:t>
      </w:r>
    </w:p>
    <w:p w:rsidR="0066049C" w:rsidRPr="00EA7EBF" w:rsidRDefault="007E6D66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часткова </w:t>
      </w:r>
      <w:r w:rsidR="0066049C" w:rsidRPr="00EA7EBF">
        <w:rPr>
          <w:rFonts w:ascii="Times New Roman" w:hAnsi="Times New Roman" w:cs="Times New Roman"/>
          <w:sz w:val="28"/>
          <w:szCs w:val="28"/>
          <w:lang w:val="uk-UA"/>
        </w:rPr>
        <w:t>відсутність правовстановлюючих документів на державне майно;</w:t>
      </w:r>
    </w:p>
    <w:p w:rsidR="00F326F9" w:rsidRPr="00EA7EBF" w:rsidRDefault="00F326F9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скрита оренда;</w:t>
      </w:r>
    </w:p>
    <w:p w:rsidR="00F326F9" w:rsidRPr="00EA7EBF" w:rsidRDefault="00F326F9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нецільове використання залучених коштів;</w:t>
      </w:r>
    </w:p>
    <w:p w:rsidR="00F326F9" w:rsidRPr="00EA7EBF" w:rsidRDefault="001A1F14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неефективність роботи</w:t>
      </w:r>
      <w:r w:rsidR="00F326F9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існуючих штатів спортивних споруд;</w:t>
      </w:r>
    </w:p>
    <w:p w:rsidR="004106D5" w:rsidRPr="00EA7EBF" w:rsidRDefault="004106D5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незадовільний стан ча</w:t>
      </w:r>
      <w:r w:rsidR="00F326F9" w:rsidRPr="00EA7EBF">
        <w:rPr>
          <w:rFonts w:ascii="Times New Roman" w:hAnsi="Times New Roman" w:cs="Times New Roman"/>
          <w:sz w:val="28"/>
          <w:szCs w:val="28"/>
          <w:lang w:val="uk-UA"/>
        </w:rPr>
        <w:t>ш басейнів, спортивних залів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049C" w:rsidRPr="00EA7EBF" w:rsidRDefault="004106D5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застарілий стан систем теплопостачання та опалення, що при</w:t>
      </w:r>
      <w:r w:rsidR="003D0A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водить до нераціонального використання теплоенергії, яке несе за</w:t>
      </w:r>
      <w:r w:rsidR="0066049C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собою значні фінансові затрати;</w:t>
      </w:r>
    </w:p>
    <w:p w:rsidR="004106D5" w:rsidRPr="00EA7EBF" w:rsidRDefault="0066049C" w:rsidP="001539D5">
      <w:pPr>
        <w:pStyle w:val="aa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326F9" w:rsidRPr="00EA7EBF">
        <w:rPr>
          <w:rFonts w:ascii="Times New Roman" w:hAnsi="Times New Roman" w:cs="Times New Roman"/>
          <w:sz w:val="28"/>
          <w:szCs w:val="28"/>
          <w:lang w:val="uk-UA"/>
        </w:rPr>
        <w:t>сутність інвентарю та обладнання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06D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3996" w:rsidRPr="00EA7EBF" w:rsidRDefault="00C03996" w:rsidP="006C644A">
      <w:pPr>
        <w:pStyle w:val="aa"/>
        <w:tabs>
          <w:tab w:val="left" w:pos="993"/>
          <w:tab w:val="left" w:pos="1134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Це призводить до неможливості використання спортивних споруд за їх цільовим призначенням.</w:t>
      </w:r>
    </w:p>
    <w:p w:rsidR="005907E8" w:rsidRPr="00EA7EBF" w:rsidRDefault="00C16AE5" w:rsidP="006C644A">
      <w:pPr>
        <w:tabs>
          <w:tab w:val="left" w:pos="993"/>
        </w:tabs>
        <w:spacing w:after="0" w:line="240" w:lineRule="auto"/>
        <w:ind w:right="-1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</w:t>
      </w:r>
      <w:r w:rsidR="00D74931" w:rsidRPr="00EA7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 необхідність у </w:t>
      </w:r>
      <w:r w:rsidR="00C57B0C" w:rsidRPr="00EA7EBF">
        <w:rPr>
          <w:rFonts w:ascii="Times New Roman" w:hAnsi="Times New Roman" w:cs="Times New Roman"/>
          <w:sz w:val="28"/>
          <w:szCs w:val="28"/>
          <w:lang w:val="uk-UA"/>
        </w:rPr>
        <w:t>перегляді підп</w:t>
      </w:r>
      <w:r w:rsidR="00BA293C" w:rsidRPr="00EA7EBF">
        <w:rPr>
          <w:rFonts w:ascii="Times New Roman" w:hAnsi="Times New Roman" w:cs="Times New Roman"/>
          <w:sz w:val="28"/>
          <w:szCs w:val="28"/>
          <w:lang w:val="uk-UA"/>
        </w:rPr>
        <w:t>орядкованості</w:t>
      </w:r>
      <w:r w:rsidR="00C57B0C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D66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 </w:t>
      </w:r>
      <w:r w:rsidR="00C57B0C" w:rsidRPr="00EA7EBF"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BA293C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визначенні пріоритетних цілей, що дозволять модернізувати</w:t>
      </w:r>
      <w:r w:rsidR="0041738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їх стан, що відкриє шлях до підвищення ефективності їх використання.</w:t>
      </w:r>
    </w:p>
    <w:p w:rsidR="00E403F0" w:rsidRPr="00EA7EBF" w:rsidRDefault="00E403F0" w:rsidP="006C644A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Першим кроком у розвитку спортивної інфраструктури Комітету стала реорганізація існуючої моделі управління спортивними спорудами. </w:t>
      </w:r>
      <w:r w:rsidR="001C2820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2017-2018 рок</w:t>
      </w:r>
      <w:r w:rsidR="001C282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припинено юридичну особу Центрального спортивного комплексу, шляхом приєднання</w:t>
      </w:r>
      <w:r w:rsidR="001C2820">
        <w:rPr>
          <w:rFonts w:ascii="Times New Roman" w:hAnsi="Times New Roman" w:cs="Times New Roman"/>
          <w:sz w:val="28"/>
          <w:szCs w:val="28"/>
          <w:lang w:val="uk-UA"/>
        </w:rPr>
        <w:t xml:space="preserve"> ЦСК та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його спортивних споруд до </w:t>
      </w:r>
      <w:r w:rsidR="001C28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омітету як відокремлені підрозділи (філії).  </w:t>
      </w:r>
    </w:p>
    <w:p w:rsidR="00E403F0" w:rsidRPr="0099001C" w:rsidRDefault="00E403F0" w:rsidP="006C644A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Другим кроком відбулись зміни в структурі Комітету</w:t>
      </w:r>
      <w:r w:rsidR="00262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BE7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262BE7">
        <w:rPr>
          <w:rFonts w:ascii="Times New Roman" w:hAnsi="Times New Roman" w:cs="Times New Roman"/>
          <w:sz w:val="28"/>
          <w:szCs w:val="28"/>
          <w:lang w:val="uk-UA"/>
        </w:rPr>
        <w:t xml:space="preserve"> створено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2F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правління спортивних споруд</w:t>
      </w:r>
      <w:r w:rsidR="00FC77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яке посилить контроль</w:t>
      </w:r>
      <w:r w:rsidR="00FC77B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 w:rsidR="00FC77B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майна.</w:t>
      </w:r>
    </w:p>
    <w:p w:rsidR="001C2820" w:rsidRDefault="001C2820" w:rsidP="001C2820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Стратегічним</w:t>
      </w:r>
      <w:r w:rsidR="00317E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напрямк</w:t>
      </w:r>
      <w:r w:rsidR="00317EF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є оптимізація роботи спортивних споруд, збільшення надходжень</w:t>
      </w:r>
      <w:r w:rsidR="00317EF3">
        <w:rPr>
          <w:rFonts w:ascii="Times New Roman" w:hAnsi="Times New Roman" w:cs="Times New Roman"/>
          <w:sz w:val="28"/>
          <w:szCs w:val="28"/>
          <w:lang w:val="uk-UA"/>
        </w:rPr>
        <w:t xml:space="preserve"> від оренди та надання послуг, 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часть в державн</w:t>
      </w:r>
      <w:r w:rsidR="00317EF3">
        <w:rPr>
          <w:rFonts w:ascii="Times New Roman" w:hAnsi="Times New Roman" w:cs="Times New Roman"/>
          <w:sz w:val="28"/>
          <w:szCs w:val="28"/>
          <w:lang w:val="uk-UA"/>
        </w:rPr>
        <w:t>их та міжнародних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317EF3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розвитку, співпраця з місцевими та обласними державними адміністраціями, залучення приватних інвесторів в межах діючого законодавства.</w:t>
      </w:r>
    </w:p>
    <w:p w:rsidR="001C2820" w:rsidRPr="00317EF3" w:rsidRDefault="001C2820" w:rsidP="001C2820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820" w:rsidRPr="001C2820" w:rsidRDefault="001C2820" w:rsidP="006C644A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7DD" w:rsidRPr="00EA7EBF" w:rsidRDefault="00290418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</w:rPr>
        <w:t>III. Мета та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основні</w:t>
      </w:r>
      <w:r w:rsidR="00CF5DBE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F5DBE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</w:p>
    <w:p w:rsidR="00527E77" w:rsidRPr="00EA7EBF" w:rsidRDefault="00527E77" w:rsidP="006C644A">
      <w:pPr>
        <w:spacing w:after="0" w:line="240" w:lineRule="auto"/>
        <w:ind w:right="-1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0D32" w:rsidRPr="00EA7EBF" w:rsidRDefault="00B278A1" w:rsidP="006C644A">
      <w:pPr>
        <w:pStyle w:val="a3"/>
        <w:spacing w:before="0" w:beforeAutospacing="0" w:after="0" w:afterAutospacing="0"/>
        <w:ind w:right="-166" w:firstLine="708"/>
        <w:jc w:val="both"/>
        <w:textAlignment w:val="baseline"/>
        <w:rPr>
          <w:sz w:val="28"/>
          <w:szCs w:val="28"/>
          <w:lang w:val="uk-UA"/>
        </w:rPr>
      </w:pPr>
      <w:r w:rsidRPr="00EA7EBF">
        <w:rPr>
          <w:sz w:val="28"/>
          <w:szCs w:val="28"/>
          <w:lang w:val="uk-UA"/>
        </w:rPr>
        <w:t>Метою Стратегії є</w:t>
      </w:r>
      <w:r w:rsidR="00CF5DBE" w:rsidRPr="00EA7EBF">
        <w:rPr>
          <w:sz w:val="28"/>
          <w:szCs w:val="28"/>
          <w:lang w:val="uk-UA"/>
        </w:rPr>
        <w:t xml:space="preserve"> </w:t>
      </w:r>
      <w:r w:rsidR="007637C6" w:rsidRPr="00EA7EBF">
        <w:rPr>
          <w:sz w:val="28"/>
          <w:szCs w:val="28"/>
          <w:lang w:val="uk-UA"/>
        </w:rPr>
        <w:t xml:space="preserve">забезпечення </w:t>
      </w:r>
      <w:r w:rsidR="00CF5DBE" w:rsidRPr="00EA7EBF">
        <w:rPr>
          <w:sz w:val="28"/>
          <w:szCs w:val="28"/>
          <w:lang w:val="uk-UA"/>
        </w:rPr>
        <w:t xml:space="preserve">повноцінного функціонування </w:t>
      </w:r>
      <w:r w:rsidR="007E6D66" w:rsidRPr="00EA7EBF">
        <w:rPr>
          <w:sz w:val="28"/>
          <w:szCs w:val="28"/>
          <w:lang w:val="uk-UA"/>
        </w:rPr>
        <w:t xml:space="preserve">спортивних </w:t>
      </w:r>
      <w:r w:rsidR="00CF5DBE" w:rsidRPr="00EA7EBF">
        <w:rPr>
          <w:sz w:val="28"/>
          <w:szCs w:val="28"/>
          <w:lang w:val="uk-UA"/>
        </w:rPr>
        <w:t>споруд у належному стані для залучення більшої кількості учнів</w:t>
      </w:r>
      <w:r w:rsidR="00F326F9" w:rsidRPr="00EA7EBF">
        <w:rPr>
          <w:sz w:val="28"/>
          <w:szCs w:val="28"/>
          <w:lang w:val="uk-UA"/>
        </w:rPr>
        <w:t xml:space="preserve"> та</w:t>
      </w:r>
      <w:r w:rsidR="00CF5DBE" w:rsidRPr="00EA7EBF">
        <w:rPr>
          <w:sz w:val="28"/>
          <w:szCs w:val="28"/>
          <w:lang w:val="uk-UA"/>
        </w:rPr>
        <w:t xml:space="preserve"> студентів до занять фізичною культурою та спортом</w:t>
      </w:r>
      <w:r w:rsidR="00985F85" w:rsidRPr="00EA7EBF">
        <w:rPr>
          <w:sz w:val="28"/>
          <w:szCs w:val="28"/>
          <w:lang w:val="uk-UA"/>
        </w:rPr>
        <w:t>,</w:t>
      </w:r>
      <w:r w:rsidR="003A753C" w:rsidRPr="00EA7EBF">
        <w:rPr>
          <w:sz w:val="28"/>
          <w:szCs w:val="28"/>
          <w:lang w:val="uk-UA"/>
        </w:rPr>
        <w:t xml:space="preserve"> проведення міських, обласних,</w:t>
      </w:r>
      <w:r w:rsidR="00985F85" w:rsidRPr="00EA7EBF">
        <w:rPr>
          <w:sz w:val="28"/>
          <w:szCs w:val="28"/>
          <w:lang w:val="uk-UA"/>
        </w:rPr>
        <w:t xml:space="preserve"> всеукраїнських</w:t>
      </w:r>
      <w:r w:rsidR="003A753C" w:rsidRPr="00EA7EBF">
        <w:rPr>
          <w:sz w:val="28"/>
          <w:szCs w:val="28"/>
          <w:lang w:val="uk-UA"/>
        </w:rPr>
        <w:t xml:space="preserve"> і міжнародних</w:t>
      </w:r>
      <w:r w:rsidR="00985F85" w:rsidRPr="00EA7EBF">
        <w:rPr>
          <w:sz w:val="28"/>
          <w:szCs w:val="28"/>
          <w:lang w:val="uk-UA"/>
        </w:rPr>
        <w:t xml:space="preserve"> змагань та інших спортивно-оздоровчих заходів</w:t>
      </w:r>
      <w:r w:rsidR="00B046D1" w:rsidRPr="00EA7EBF">
        <w:rPr>
          <w:sz w:val="28"/>
          <w:szCs w:val="28"/>
          <w:lang w:val="uk-UA"/>
        </w:rPr>
        <w:t>, навчально-тренувальної роботи.</w:t>
      </w:r>
    </w:p>
    <w:p w:rsidR="007A4EB6" w:rsidRDefault="007A4EB6" w:rsidP="006C644A">
      <w:pPr>
        <w:pStyle w:val="a3"/>
        <w:spacing w:before="0" w:beforeAutospacing="0" w:after="0" w:afterAutospacing="0"/>
        <w:ind w:right="-166" w:firstLine="708"/>
        <w:jc w:val="both"/>
        <w:textAlignment w:val="baseline"/>
        <w:rPr>
          <w:sz w:val="28"/>
          <w:szCs w:val="28"/>
          <w:lang w:val="uk-UA"/>
        </w:rPr>
      </w:pPr>
    </w:p>
    <w:p w:rsidR="00317EF3" w:rsidRPr="00EA7EBF" w:rsidRDefault="00317EF3" w:rsidP="006C644A">
      <w:pPr>
        <w:pStyle w:val="a3"/>
        <w:spacing w:before="0" w:beforeAutospacing="0" w:after="0" w:afterAutospacing="0"/>
        <w:ind w:right="-166" w:firstLine="708"/>
        <w:jc w:val="both"/>
        <w:textAlignment w:val="baseline"/>
        <w:rPr>
          <w:sz w:val="28"/>
          <w:szCs w:val="28"/>
          <w:lang w:val="uk-UA"/>
        </w:rPr>
      </w:pPr>
    </w:p>
    <w:p w:rsidR="00290418" w:rsidRPr="00EA7EBF" w:rsidRDefault="00290418" w:rsidP="006C644A">
      <w:pPr>
        <w:pStyle w:val="a3"/>
        <w:spacing w:before="0" w:beforeAutospacing="0" w:after="0" w:afterAutospacing="0"/>
        <w:ind w:right="-166" w:firstLine="708"/>
        <w:jc w:val="center"/>
        <w:textAlignment w:val="baseline"/>
        <w:rPr>
          <w:b/>
          <w:sz w:val="28"/>
          <w:szCs w:val="28"/>
          <w:lang w:val="uk-UA"/>
        </w:rPr>
      </w:pPr>
      <w:r w:rsidRPr="00EA7EBF">
        <w:rPr>
          <w:b/>
          <w:sz w:val="28"/>
          <w:szCs w:val="28"/>
          <w:lang w:val="uk-UA"/>
        </w:rPr>
        <w:t>Досягнення зазначеної мети передбачає</w:t>
      </w:r>
      <w:r w:rsidR="00C03996" w:rsidRPr="00EA7EBF">
        <w:rPr>
          <w:b/>
          <w:sz w:val="28"/>
          <w:szCs w:val="28"/>
          <w:lang w:val="uk-UA"/>
        </w:rPr>
        <w:t>ться шляхом</w:t>
      </w:r>
      <w:r w:rsidRPr="00EA7EBF">
        <w:rPr>
          <w:b/>
          <w:sz w:val="28"/>
          <w:szCs w:val="28"/>
          <w:lang w:val="uk-UA"/>
        </w:rPr>
        <w:t xml:space="preserve"> вирішення таких основних завдань:</w:t>
      </w:r>
    </w:p>
    <w:p w:rsidR="00937A74" w:rsidRPr="00EA7EBF" w:rsidRDefault="00937A74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ефе</w:t>
      </w:r>
      <w:r w:rsidR="00AF2ABB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ктивне використання можливостей та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організації фізкультурно-масової та спортивної роботи</w:t>
      </w:r>
      <w:r w:rsidR="00AF2ABB"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457" w:rsidRPr="00EA7EBF" w:rsidRDefault="00B70457" w:rsidP="001539D5">
      <w:pPr>
        <w:pStyle w:val="ab"/>
        <w:numPr>
          <w:ilvl w:val="0"/>
          <w:numId w:val="20"/>
        </w:numPr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EBF">
        <w:rPr>
          <w:rFonts w:ascii="Times New Roman" w:hAnsi="Times New Roman"/>
          <w:sz w:val="28"/>
          <w:szCs w:val="28"/>
        </w:rPr>
        <w:t>забезпечити збереження та створення розгалуженої мережі сучасних спортивних споруд (спортивні зали, плавальні басейни, спортивні майданчики тощо), які відповідають національним та міжнародним стандартам, зокрема із залученням коштів інвесторів та спонсорів;</w:t>
      </w:r>
    </w:p>
    <w:p w:rsidR="005A61D4" w:rsidRPr="00EA7EBF" w:rsidRDefault="002C1261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пряме </w:t>
      </w:r>
      <w:r w:rsidR="004624F3" w:rsidRPr="00EA7E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B010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ідпорядкування спортивних </w:t>
      </w:r>
      <w:r w:rsidR="00B046D1" w:rsidRPr="00EA7EBF">
        <w:rPr>
          <w:rFonts w:ascii="Times New Roman" w:hAnsi="Times New Roman" w:cs="Times New Roman"/>
          <w:sz w:val="28"/>
          <w:szCs w:val="28"/>
          <w:lang w:val="uk-UA"/>
        </w:rPr>
        <w:t>споруд Комітету</w:t>
      </w:r>
      <w:r w:rsidR="004624F3"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24F3" w:rsidRPr="00EA7EBF" w:rsidRDefault="004624F3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B010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півпраця </w:t>
      </w:r>
      <w:r w:rsidR="007D390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щодо розвитку спортивних споруд Комітету </w:t>
      </w:r>
      <w:r w:rsidR="00AB0104" w:rsidRPr="00EA7EBF">
        <w:rPr>
          <w:rFonts w:ascii="Times New Roman" w:hAnsi="Times New Roman" w:cs="Times New Roman"/>
          <w:sz w:val="28"/>
          <w:szCs w:val="28"/>
          <w:lang w:val="uk-UA"/>
        </w:rPr>
        <w:t>з органами місцевого самоврядування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спортивними клубами, </w:t>
      </w:r>
      <w:r w:rsidR="00AB0104" w:rsidRPr="00EA7EBF">
        <w:rPr>
          <w:rFonts w:ascii="Times New Roman" w:hAnsi="Times New Roman" w:cs="Times New Roman"/>
          <w:sz w:val="28"/>
          <w:szCs w:val="28"/>
          <w:lang w:val="uk-UA"/>
        </w:rPr>
        <w:t>федераціями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організаціями;</w:t>
      </w:r>
    </w:p>
    <w:p w:rsidR="004624F3" w:rsidRPr="00EA7EBF" w:rsidRDefault="004624F3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C068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алучення позабюджетних коштів для розвитку матеріально-технічної бази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381D79" w:rsidRPr="00EA7EBF">
        <w:rPr>
          <w:rFonts w:ascii="Times New Roman" w:hAnsi="Times New Roman" w:cs="Times New Roman"/>
          <w:sz w:val="28"/>
          <w:szCs w:val="28"/>
          <w:lang w:val="uk-UA"/>
        </w:rPr>
        <w:t>співпраця з</w:t>
      </w:r>
      <w:r w:rsidR="002C068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регіонального розвитку по програмі Д</w:t>
      </w:r>
      <w:r w:rsidR="005A61D4" w:rsidRPr="00EA7EBF">
        <w:rPr>
          <w:rFonts w:ascii="Times New Roman" w:hAnsi="Times New Roman" w:cs="Times New Roman"/>
          <w:sz w:val="28"/>
          <w:szCs w:val="28"/>
          <w:lang w:val="uk-UA"/>
        </w:rPr>
        <w:t>ержавного фонду регіонального розвитку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4EB6" w:rsidRPr="00EA7EBF" w:rsidRDefault="007A4EB6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забезпечити будівництво та реконструкцію сучасних спортивних споруд, за підтримки місцевих органів виконавчої влади та залученням органів місцевого самоврядування;</w:t>
      </w:r>
    </w:p>
    <w:p w:rsidR="004624F3" w:rsidRPr="001C2820" w:rsidRDefault="007A4EB6" w:rsidP="001C2820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максимальне наближення стану майнових комплексів спортивних споруд до міжнародних стандартів для проведення фізкультурно-оздоровчої, спортивної та масової роботи;</w:t>
      </w:r>
    </w:p>
    <w:p w:rsidR="004624F3" w:rsidRPr="00EA7EBF" w:rsidRDefault="007A4EB6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оцінка кадрового складу, штатів, проведення атестації відповідних категорій працівників, які згідно чинного законодавства підлягають атестації</w:t>
      </w:r>
      <w:r w:rsidR="00B70457" w:rsidRPr="00EA7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0457" w:rsidRPr="00EA7E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70457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9D67EC">
        <w:rPr>
          <w:rFonts w:ascii="Times New Roman" w:hAnsi="Times New Roman" w:cs="Times New Roman"/>
          <w:sz w:val="28"/>
          <w:szCs w:val="28"/>
          <w:lang w:val="uk-UA"/>
        </w:rPr>
        <w:br/>
      </w:r>
      <w:r w:rsidR="00B70457" w:rsidRPr="00EA7EBF">
        <w:rPr>
          <w:rFonts w:ascii="Times New Roman" w:hAnsi="Times New Roman" w:cs="Times New Roman"/>
          <w:sz w:val="28"/>
          <w:szCs w:val="28"/>
          <w:lang w:val="uk-UA"/>
        </w:rPr>
        <w:t>підвищення їх рівня професійних знань, фахового рівня та вміння працювати в нових соціально-економічних умовах</w:t>
      </w:r>
      <w:r w:rsidR="004624F3"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61D4" w:rsidRPr="00EA7EBF" w:rsidRDefault="005A61D4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підтримка роботи спортивних шкіл, секцій, гуртків, урізноманітнення їх за рахунок нових (популярних) видів спорту;</w:t>
      </w:r>
    </w:p>
    <w:p w:rsidR="004624F3" w:rsidRPr="00EA7EBF" w:rsidRDefault="004624F3" w:rsidP="001539D5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D3904" w:rsidRPr="00EA7EBF">
        <w:rPr>
          <w:rFonts w:ascii="Times New Roman" w:hAnsi="Times New Roman" w:cs="Times New Roman"/>
          <w:sz w:val="28"/>
          <w:szCs w:val="28"/>
          <w:lang w:val="uk-UA"/>
        </w:rPr>
        <w:t>провадження інноваційних процесів в систему управління та функціонування спортивних споруд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0DE1" w:rsidRDefault="004624F3" w:rsidP="00020DE1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046D1" w:rsidRPr="00EA7EBF">
        <w:rPr>
          <w:rFonts w:ascii="Times New Roman" w:hAnsi="Times New Roman" w:cs="Times New Roman"/>
          <w:sz w:val="28"/>
          <w:szCs w:val="28"/>
          <w:lang w:val="uk-UA"/>
        </w:rPr>
        <w:t>роведення спортивно-масових заходів</w:t>
      </w:r>
      <w:r w:rsidR="002C0684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та навчально-тренувальних занять</w:t>
      </w:r>
      <w:r w:rsidR="00020D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0DE1" w:rsidRPr="00020DE1" w:rsidRDefault="001C2820" w:rsidP="00020DE1">
      <w:pPr>
        <w:pStyle w:val="aa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</w:t>
      </w:r>
      <w:r w:rsidR="00020DE1" w:rsidRPr="00020DE1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капітальні ремонти спортивних споруд, що у перспективі стануть рентабельними. Даний напрямок вже у роботі, зокрема, розпочато реконструкцію стадіону ЦДЮНСБ «Трудові резерви» у м. біла Церква загальною вартістю близько 70 млн. грн. </w:t>
      </w:r>
    </w:p>
    <w:p w:rsidR="00020DE1" w:rsidRPr="00020DE1" w:rsidRDefault="00020DE1" w:rsidP="00020DE1">
      <w:pPr>
        <w:pStyle w:val="aa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Неможливо залишити без уваги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який виділяється 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щорічно на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в середньому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близько 70 млн.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цьому, к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оштів, які надходять від основної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споруд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не вистачає </w:t>
      </w:r>
      <w:r>
        <w:rPr>
          <w:rFonts w:ascii="Times New Roman" w:hAnsi="Times New Roman" w:cs="Times New Roman"/>
          <w:sz w:val="28"/>
          <w:szCs w:val="28"/>
          <w:lang w:val="uk-UA"/>
        </w:rPr>
        <w:t>для їхнього утримання.</w:t>
      </w:r>
    </w:p>
    <w:p w:rsidR="00020DE1" w:rsidRPr="00020DE1" w:rsidRDefault="00020DE1" w:rsidP="00020DE1">
      <w:pPr>
        <w:pStyle w:val="aa"/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FE0AA8">
        <w:rPr>
          <w:rFonts w:ascii="Times New Roman" w:hAnsi="Times New Roman" w:cs="Times New Roman"/>
          <w:sz w:val="28"/>
          <w:szCs w:val="28"/>
          <w:lang w:val="uk-UA"/>
        </w:rPr>
        <w:t>викладеним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 основних завдань є передача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спортивних споруд в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довгострокову оренду місцевим та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обласним державним адміністраціям, федераціям 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з видів спорту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іншим організаціям в межах чинного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</w:t>
      </w:r>
      <w:r w:rsidR="001C2820">
        <w:rPr>
          <w:rFonts w:ascii="Times New Roman" w:hAnsi="Times New Roman" w:cs="Times New Roman"/>
          <w:sz w:val="28"/>
          <w:szCs w:val="28"/>
          <w:lang w:val="uk-UA"/>
        </w:rPr>
        <w:t xml:space="preserve"> без зміни їх цільового призначення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. Кошти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акумулю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ватися від передачі споруд в оренду,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направ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ляти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тих споруд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ключове значення в регіонах для Комітету. Насамперед</w:t>
      </w:r>
      <w:r w:rsidR="004A01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це активізація роботи по оформленню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правовстановлюючих документів на нерухоме державне майно,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капі</w:t>
      </w:r>
      <w:r w:rsidR="00FE0AA8">
        <w:rPr>
          <w:rFonts w:ascii="Times New Roman" w:hAnsi="Times New Roman" w:cs="Times New Roman"/>
          <w:sz w:val="28"/>
          <w:szCs w:val="28"/>
          <w:lang w:val="uk-UA"/>
        </w:rPr>
        <w:t>тальних і поточних ремонтів та придбання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нового обладна</w:t>
      </w:r>
      <w:r>
        <w:rPr>
          <w:rFonts w:ascii="Times New Roman" w:hAnsi="Times New Roman" w:cs="Times New Roman"/>
          <w:sz w:val="28"/>
          <w:szCs w:val="28"/>
          <w:lang w:val="uk-UA"/>
        </w:rPr>
        <w:t>ння для тренувального процесу.</w:t>
      </w:r>
    </w:p>
    <w:p w:rsidR="00020DE1" w:rsidRDefault="00020DE1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820" w:rsidRPr="00020DE1" w:rsidRDefault="001C2820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7863" w:rsidRPr="00EA7EBF" w:rsidRDefault="00986515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</w:rPr>
        <w:t>I</w:t>
      </w:r>
      <w:r w:rsidR="00290418" w:rsidRPr="00EA7EBF">
        <w:rPr>
          <w:rFonts w:ascii="Times New Roman" w:hAnsi="Times New Roman" w:cs="Times New Roman"/>
          <w:sz w:val="28"/>
          <w:szCs w:val="28"/>
        </w:rPr>
        <w:t>V</w:t>
      </w:r>
      <w:r w:rsidR="00290418" w:rsidRPr="00EA7EBF">
        <w:rPr>
          <w:rFonts w:ascii="Times New Roman" w:hAnsi="Times New Roman" w:cs="Times New Roman"/>
          <w:sz w:val="28"/>
          <w:szCs w:val="28"/>
          <w:lang w:val="uk-UA"/>
        </w:rPr>
        <w:t>. Очікувані результати</w:t>
      </w:r>
    </w:p>
    <w:p w:rsidR="009D67EC" w:rsidRPr="009D67EC" w:rsidRDefault="009D67EC" w:rsidP="006C644A">
      <w:pPr>
        <w:spacing w:after="0" w:line="240" w:lineRule="auto"/>
        <w:ind w:right="-166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1D4" w:rsidRPr="00EA7EBF" w:rsidRDefault="00290418" w:rsidP="006C644A">
      <w:pPr>
        <w:tabs>
          <w:tab w:val="left" w:pos="993"/>
        </w:tabs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Реалізація Стратегії</w:t>
      </w:r>
      <w:r w:rsidR="00123C18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8F3" w:rsidRPr="00EA7EBF">
        <w:rPr>
          <w:rFonts w:ascii="Times New Roman" w:hAnsi="Times New Roman" w:cs="Times New Roman"/>
          <w:sz w:val="28"/>
          <w:szCs w:val="28"/>
          <w:lang w:val="uk-UA"/>
        </w:rPr>
        <w:t>забезпечить</w:t>
      </w:r>
      <w:r w:rsidR="005A61D4" w:rsidRPr="00EA7E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10D32" w:rsidRPr="00EA7EBF" w:rsidRDefault="00110D32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розвиток спортивних споруд за рахунок співпраці з органами місцевого самоврядування, громадськими організаціями тощо;</w:t>
      </w:r>
    </w:p>
    <w:p w:rsidR="00110D32" w:rsidRPr="00EA7EBF" w:rsidRDefault="00110D32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залучення додаткових коштів</w:t>
      </w:r>
      <w:r w:rsidR="00176C5C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та їх раціональне використання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від надання спортивних споруд в оренду без зміни їх цільового призначення;</w:t>
      </w:r>
    </w:p>
    <w:p w:rsidR="007A4EB6" w:rsidRPr="00EA7EBF" w:rsidRDefault="002C1261" w:rsidP="006C644A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покращення стану матеріально-технічної бази спортивних споруд, що дозволить організувати заняття з фізичної культури і спорту та змістовне дозвілля школярів та студентів</w:t>
      </w:r>
      <w:r w:rsidR="005A61D4" w:rsidRPr="00EA7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78F3" w:rsidRPr="00EA7EBF" w:rsidRDefault="006778F3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в</w:t>
      </w:r>
      <w:r w:rsidR="000C78F7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ідповідність спортивних споруд міжнародним нормам</w:t>
      </w:r>
      <w:r w:rsidR="004624F3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;</w:t>
      </w:r>
    </w:p>
    <w:p w:rsidR="00110D32" w:rsidRPr="00EA7EBF" w:rsidRDefault="00110D32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наявність сучасного інвентарю та обладнання для занять фізичною культурою та спортом;</w:t>
      </w:r>
    </w:p>
    <w:p w:rsidR="00110D32" w:rsidRPr="00EA7EBF" w:rsidRDefault="00110D32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оптимізований штат спортивних споруд для ефективної роботи спортивних споруд;</w:t>
      </w:r>
    </w:p>
    <w:p w:rsidR="00110D32" w:rsidRPr="00EA7EBF" w:rsidRDefault="00110D32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 xml:space="preserve">популяризацію </w:t>
      </w:r>
      <w:r w:rsidR="00176C5C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та урізноманітнен</w:t>
      </w:r>
      <w:r w:rsidR="00AF2ABB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ня спортивних та сімейних фізкультурно-оздоровчих та спортивних заходів</w:t>
      </w:r>
      <w:r w:rsidR="00176C5C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;</w:t>
      </w:r>
    </w:p>
    <w:p w:rsidR="00176C5C" w:rsidRPr="00EA7EBF" w:rsidRDefault="00176C5C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створення загальнодоступних, комфортних і безпечних умов для </w:t>
      </w:r>
      <w:r w:rsidR="00AF2ABB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регулярних 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занять фізкультурою та спортом;</w:t>
      </w:r>
    </w:p>
    <w:p w:rsidR="00176C5C" w:rsidRPr="00EA7EBF" w:rsidRDefault="00176C5C" w:rsidP="006C644A">
      <w:pPr>
        <w:pStyle w:val="aa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на 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спортивних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спорудах Комітету обласних, всеукраїнських, міжнародних змагань, Чемпіонатів</w:t>
      </w:r>
      <w:r w:rsidR="00435F7B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та Кубків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Європи</w:t>
      </w:r>
      <w:r w:rsidR="00435F7B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на кшталт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Універсіад, Гімназіад та інших спортивно-масових заходів.</w:t>
      </w:r>
    </w:p>
    <w:p w:rsidR="00E403F0" w:rsidRPr="00EA7EBF" w:rsidRDefault="00E403F0" w:rsidP="0099001C">
      <w:pPr>
        <w:pStyle w:val="aa"/>
        <w:shd w:val="clear" w:color="auto" w:fill="FFFFFF"/>
        <w:tabs>
          <w:tab w:val="left" w:pos="993"/>
        </w:tabs>
        <w:spacing w:after="0" w:line="240" w:lineRule="auto"/>
        <w:ind w:left="0" w:right="-166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У перспективі Комітету є ще одна реорганізація стосовно спортивних споруд, а саме 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ym w:font="Symbol" w:char="F02D"/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="0099001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пряме підпорядкування 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спортивних споруд обласних філій </w:t>
      </w:r>
      <w:r w:rsidR="0099001C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Комітету</w:t>
      </w:r>
      <w:r w:rsidR="001C3C5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що дасть змогу 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посил</w:t>
      </w:r>
      <w:r w:rsidR="001C3C5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ити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контрол</w:t>
      </w:r>
      <w:r w:rsidR="001C3C5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ь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за раціональним використанням державного майна та витрат</w:t>
      </w:r>
      <w:r w:rsidR="00FE0AA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ами</w:t>
      </w:r>
      <w:r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коштів спеціальних фондів споруд. </w:t>
      </w:r>
      <w:r w:rsidR="00435F7B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Це дасть розуміння реальних </w:t>
      </w:r>
      <w:r w:rsidR="001C3C52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</w:t>
      </w:r>
      <w:r w:rsidR="00435F7B" w:rsidRPr="00EA7E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отреб та проблематики споруд та шляхів їх вирішення. </w:t>
      </w:r>
    </w:p>
    <w:p w:rsidR="00C23A59" w:rsidRDefault="00C23A59" w:rsidP="006C644A">
      <w:pPr>
        <w:spacing w:after="0" w:line="240" w:lineRule="auto"/>
        <w:ind w:right="-16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C2820" w:rsidRPr="00EA7EBF" w:rsidRDefault="001C2820" w:rsidP="006C644A">
      <w:pPr>
        <w:spacing w:after="0" w:line="240" w:lineRule="auto"/>
        <w:ind w:right="-16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37863" w:rsidRPr="00EA7EBF" w:rsidRDefault="00290418" w:rsidP="006C644A">
      <w:pPr>
        <w:spacing w:after="0" w:line="240" w:lineRule="auto"/>
        <w:ind w:right="-1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V. Організаційне та фінансове забезпечення реалізації Стратегії</w:t>
      </w:r>
    </w:p>
    <w:p w:rsidR="00237863" w:rsidRPr="00EA7EBF" w:rsidRDefault="00237863" w:rsidP="006C644A">
      <w:pPr>
        <w:spacing w:after="0" w:line="240" w:lineRule="auto"/>
        <w:ind w:right="-166"/>
        <w:rPr>
          <w:rFonts w:ascii="Times New Roman" w:hAnsi="Times New Roman" w:cs="Times New Roman"/>
          <w:b/>
          <w:sz w:val="28"/>
          <w:szCs w:val="28"/>
        </w:rPr>
      </w:pPr>
    </w:p>
    <w:p w:rsidR="00290418" w:rsidRPr="00EA7EBF" w:rsidRDefault="00290418" w:rsidP="006C644A">
      <w:pPr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Організаційне забезпечення реалізації Стратегії здійснюватиметься шляхом розроблення та прийняття в установленому порядку відповідних планів та заходів, спрямованих на реалізацію положень Стратегії, проведення моніторингу стану їх виконання.</w:t>
      </w:r>
    </w:p>
    <w:p w:rsidR="00C968F3" w:rsidRDefault="00290418" w:rsidP="006C644A">
      <w:pPr>
        <w:spacing w:after="0" w:line="240" w:lineRule="auto"/>
        <w:ind w:right="-16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EBF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реалізації Стратегії здійснюватиметь</w:t>
      </w:r>
      <w:r w:rsidR="0098651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ся за рахунок коштів державного </w:t>
      </w:r>
      <w:r w:rsidRPr="00EA7EBF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986515" w:rsidRPr="00EA7E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4695" w:rsidRPr="00EA7EBF">
        <w:rPr>
          <w:rFonts w:ascii="Times New Roman" w:hAnsi="Times New Roman" w:cs="Times New Roman"/>
          <w:sz w:val="28"/>
          <w:szCs w:val="28"/>
          <w:lang w:val="uk-UA"/>
        </w:rPr>
        <w:t>, коштів місцевих бюджетів</w:t>
      </w:r>
      <w:r w:rsidR="00986515" w:rsidRPr="00EA7EB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624F3" w:rsidRPr="00EA7EBF">
        <w:rPr>
          <w:rFonts w:ascii="Times New Roman" w:hAnsi="Times New Roman" w:cs="Times New Roman"/>
          <w:sz w:val="28"/>
          <w:szCs w:val="28"/>
          <w:lang w:val="uk-UA"/>
        </w:rPr>
        <w:t>інших залучених позабюджетних коштів.</w:t>
      </w:r>
    </w:p>
    <w:sectPr w:rsidR="00C968F3" w:rsidSect="00B70457">
      <w:headerReference w:type="default" r:id="rId8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BB" w:rsidRDefault="007D36BB" w:rsidP="00B70457">
      <w:pPr>
        <w:spacing w:after="0" w:line="240" w:lineRule="auto"/>
      </w:pPr>
      <w:r>
        <w:separator/>
      </w:r>
    </w:p>
  </w:endnote>
  <w:endnote w:type="continuationSeparator" w:id="0">
    <w:p w:rsidR="007D36BB" w:rsidRDefault="007D36BB" w:rsidP="00B7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BB" w:rsidRDefault="007D36BB" w:rsidP="00B70457">
      <w:pPr>
        <w:spacing w:after="0" w:line="240" w:lineRule="auto"/>
      </w:pPr>
      <w:r>
        <w:separator/>
      </w:r>
    </w:p>
  </w:footnote>
  <w:footnote w:type="continuationSeparator" w:id="0">
    <w:p w:rsidR="007D36BB" w:rsidRDefault="007D36BB" w:rsidP="00B7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822830"/>
      <w:docPartObj>
        <w:docPartGallery w:val="Page Numbers (Top of Page)"/>
        <w:docPartUnique/>
      </w:docPartObj>
    </w:sdtPr>
    <w:sdtContent>
      <w:p w:rsidR="00435F7B" w:rsidRPr="00B70457" w:rsidRDefault="00852E3E" w:rsidP="00B7045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4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5F7B" w:rsidRPr="00B704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04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DE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704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20"/>
    <w:multiLevelType w:val="hybridMultilevel"/>
    <w:tmpl w:val="CE30BAAE"/>
    <w:lvl w:ilvl="0" w:tplc="8F4E0A7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44BB7"/>
    <w:multiLevelType w:val="hybridMultilevel"/>
    <w:tmpl w:val="D9E845FC"/>
    <w:lvl w:ilvl="0" w:tplc="42C60C7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F22A0"/>
    <w:multiLevelType w:val="hybridMultilevel"/>
    <w:tmpl w:val="1B18C61A"/>
    <w:lvl w:ilvl="0" w:tplc="FD08E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37BED"/>
    <w:multiLevelType w:val="hybridMultilevel"/>
    <w:tmpl w:val="B590EB52"/>
    <w:lvl w:ilvl="0" w:tplc="EABE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C599B"/>
    <w:multiLevelType w:val="hybridMultilevel"/>
    <w:tmpl w:val="8CE49820"/>
    <w:lvl w:ilvl="0" w:tplc="42C60C7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70647"/>
    <w:multiLevelType w:val="hybridMultilevel"/>
    <w:tmpl w:val="E7FEA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1F18"/>
    <w:multiLevelType w:val="hybridMultilevel"/>
    <w:tmpl w:val="320C55A2"/>
    <w:lvl w:ilvl="0" w:tplc="CD7CC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597671"/>
    <w:multiLevelType w:val="hybridMultilevel"/>
    <w:tmpl w:val="3EB8A5DE"/>
    <w:lvl w:ilvl="0" w:tplc="BE9C04DC">
      <w:start w:val="1"/>
      <w:numFmt w:val="bullet"/>
      <w:lvlText w:val="-"/>
      <w:lvlJc w:val="left"/>
      <w:pPr>
        <w:ind w:left="1068" w:hanging="360"/>
      </w:pPr>
      <w:rPr>
        <w:rFonts w:ascii="BatangChe" w:eastAsia="BatangChe" w:hAnsi="BatangChe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517E45"/>
    <w:multiLevelType w:val="hybridMultilevel"/>
    <w:tmpl w:val="D21AD2B4"/>
    <w:lvl w:ilvl="0" w:tplc="42C60C7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B137E5"/>
    <w:multiLevelType w:val="hybridMultilevel"/>
    <w:tmpl w:val="1556C3CA"/>
    <w:lvl w:ilvl="0" w:tplc="BE9C04DC">
      <w:start w:val="1"/>
      <w:numFmt w:val="bullet"/>
      <w:lvlText w:val="-"/>
      <w:lvlJc w:val="left"/>
      <w:pPr>
        <w:ind w:left="1068" w:hanging="360"/>
      </w:pPr>
      <w:rPr>
        <w:rFonts w:ascii="BatangChe" w:eastAsia="BatangChe" w:hAnsi="BatangChe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8832927"/>
    <w:multiLevelType w:val="hybridMultilevel"/>
    <w:tmpl w:val="AEE0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C0B35"/>
    <w:multiLevelType w:val="hybridMultilevel"/>
    <w:tmpl w:val="66D227DC"/>
    <w:lvl w:ilvl="0" w:tplc="BE9C04DC">
      <w:start w:val="1"/>
      <w:numFmt w:val="bullet"/>
      <w:lvlText w:val="-"/>
      <w:lvlJc w:val="left"/>
      <w:pPr>
        <w:ind w:left="1428" w:hanging="360"/>
      </w:pPr>
      <w:rPr>
        <w:rFonts w:ascii="BatangChe" w:eastAsia="BatangChe" w:hAnsi="BatangChe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FC271C"/>
    <w:multiLevelType w:val="hybridMultilevel"/>
    <w:tmpl w:val="34C03590"/>
    <w:lvl w:ilvl="0" w:tplc="42C60C7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9F4B31"/>
    <w:multiLevelType w:val="hybridMultilevel"/>
    <w:tmpl w:val="CE38BD9C"/>
    <w:lvl w:ilvl="0" w:tplc="42C60C7A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D810C36"/>
    <w:multiLevelType w:val="hybridMultilevel"/>
    <w:tmpl w:val="5D7613BE"/>
    <w:lvl w:ilvl="0" w:tplc="BE9C04DC">
      <w:start w:val="1"/>
      <w:numFmt w:val="bullet"/>
      <w:lvlText w:val="-"/>
      <w:lvlJc w:val="left"/>
      <w:pPr>
        <w:ind w:left="928" w:hanging="360"/>
      </w:pPr>
      <w:rPr>
        <w:rFonts w:ascii="BatangChe" w:eastAsia="BatangChe" w:hAnsi="BatangChe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5847CF7"/>
    <w:multiLevelType w:val="hybridMultilevel"/>
    <w:tmpl w:val="C23CED86"/>
    <w:lvl w:ilvl="0" w:tplc="42C60C7A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33F41D1"/>
    <w:multiLevelType w:val="hybridMultilevel"/>
    <w:tmpl w:val="3FCAA88C"/>
    <w:lvl w:ilvl="0" w:tplc="1D025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5D29888">
      <w:start w:val="1"/>
      <w:numFmt w:val="decimal"/>
      <w:lvlText w:val="3.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2F86201"/>
    <w:multiLevelType w:val="hybridMultilevel"/>
    <w:tmpl w:val="F5869802"/>
    <w:lvl w:ilvl="0" w:tplc="BE9C04DC">
      <w:start w:val="1"/>
      <w:numFmt w:val="bullet"/>
      <w:lvlText w:val="-"/>
      <w:lvlJc w:val="left"/>
      <w:pPr>
        <w:ind w:left="1428" w:hanging="360"/>
      </w:pPr>
      <w:rPr>
        <w:rFonts w:ascii="BatangChe" w:eastAsia="BatangChe" w:hAnsi="BatangChe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8D2635"/>
    <w:multiLevelType w:val="hybridMultilevel"/>
    <w:tmpl w:val="045EC88C"/>
    <w:lvl w:ilvl="0" w:tplc="30D4A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5A5701"/>
    <w:multiLevelType w:val="hybridMultilevel"/>
    <w:tmpl w:val="F08852B2"/>
    <w:lvl w:ilvl="0" w:tplc="792869B6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1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8"/>
  </w:num>
  <w:num w:numId="14">
    <w:abstractNumId w:val="0"/>
  </w:num>
  <w:num w:numId="15">
    <w:abstractNumId w:val="11"/>
  </w:num>
  <w:num w:numId="16">
    <w:abstractNumId w:val="9"/>
  </w:num>
  <w:num w:numId="17">
    <w:abstractNumId w:val="7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4B5"/>
    <w:rsid w:val="00020DE1"/>
    <w:rsid w:val="00026467"/>
    <w:rsid w:val="00057777"/>
    <w:rsid w:val="00062AE6"/>
    <w:rsid w:val="000746FB"/>
    <w:rsid w:val="000929EA"/>
    <w:rsid w:val="000A05EA"/>
    <w:rsid w:val="000C41F1"/>
    <w:rsid w:val="000C78F7"/>
    <w:rsid w:val="000E2691"/>
    <w:rsid w:val="000E75B0"/>
    <w:rsid w:val="00110D32"/>
    <w:rsid w:val="001112D2"/>
    <w:rsid w:val="00123C18"/>
    <w:rsid w:val="00130E0E"/>
    <w:rsid w:val="00131D7D"/>
    <w:rsid w:val="00134597"/>
    <w:rsid w:val="00140241"/>
    <w:rsid w:val="00141F9C"/>
    <w:rsid w:val="00151364"/>
    <w:rsid w:val="001539D5"/>
    <w:rsid w:val="00154810"/>
    <w:rsid w:val="00162A96"/>
    <w:rsid w:val="00163E04"/>
    <w:rsid w:val="00176C5C"/>
    <w:rsid w:val="001A1F14"/>
    <w:rsid w:val="001B1F1E"/>
    <w:rsid w:val="001B4C47"/>
    <w:rsid w:val="001C2820"/>
    <w:rsid w:val="001C3C52"/>
    <w:rsid w:val="001D2B62"/>
    <w:rsid w:val="001F2617"/>
    <w:rsid w:val="00237863"/>
    <w:rsid w:val="0024038F"/>
    <w:rsid w:val="002470D2"/>
    <w:rsid w:val="00253C0E"/>
    <w:rsid w:val="0025678F"/>
    <w:rsid w:val="002603AC"/>
    <w:rsid w:val="00260D4F"/>
    <w:rsid w:val="00262BE7"/>
    <w:rsid w:val="00290418"/>
    <w:rsid w:val="0029633E"/>
    <w:rsid w:val="002C0684"/>
    <w:rsid w:val="002C1261"/>
    <w:rsid w:val="002C4343"/>
    <w:rsid w:val="002C62C0"/>
    <w:rsid w:val="002D7F1E"/>
    <w:rsid w:val="003055F6"/>
    <w:rsid w:val="0031280A"/>
    <w:rsid w:val="003159E6"/>
    <w:rsid w:val="00317EF3"/>
    <w:rsid w:val="00374909"/>
    <w:rsid w:val="00374FF0"/>
    <w:rsid w:val="00381D79"/>
    <w:rsid w:val="003A2E33"/>
    <w:rsid w:val="003A753C"/>
    <w:rsid w:val="003D0A4E"/>
    <w:rsid w:val="003D4FF4"/>
    <w:rsid w:val="003E73E7"/>
    <w:rsid w:val="003F7C22"/>
    <w:rsid w:val="00405C3D"/>
    <w:rsid w:val="00406B8A"/>
    <w:rsid w:val="00410201"/>
    <w:rsid w:val="004106D5"/>
    <w:rsid w:val="00417384"/>
    <w:rsid w:val="00417C39"/>
    <w:rsid w:val="004270BD"/>
    <w:rsid w:val="00432FD6"/>
    <w:rsid w:val="00435F7B"/>
    <w:rsid w:val="004422F7"/>
    <w:rsid w:val="00452A57"/>
    <w:rsid w:val="00455E4C"/>
    <w:rsid w:val="0046041E"/>
    <w:rsid w:val="004616E8"/>
    <w:rsid w:val="004624F3"/>
    <w:rsid w:val="00462573"/>
    <w:rsid w:val="00463A5F"/>
    <w:rsid w:val="0046500D"/>
    <w:rsid w:val="00471D7E"/>
    <w:rsid w:val="004773EB"/>
    <w:rsid w:val="0048519A"/>
    <w:rsid w:val="004919FE"/>
    <w:rsid w:val="00496BDF"/>
    <w:rsid w:val="004A01C3"/>
    <w:rsid w:val="004A7865"/>
    <w:rsid w:val="004B4392"/>
    <w:rsid w:val="004D2E13"/>
    <w:rsid w:val="004D43A1"/>
    <w:rsid w:val="004F3C9E"/>
    <w:rsid w:val="004F4F60"/>
    <w:rsid w:val="005016A8"/>
    <w:rsid w:val="00527E77"/>
    <w:rsid w:val="00534193"/>
    <w:rsid w:val="00534255"/>
    <w:rsid w:val="005527DD"/>
    <w:rsid w:val="00576406"/>
    <w:rsid w:val="00583DEF"/>
    <w:rsid w:val="00585709"/>
    <w:rsid w:val="00587196"/>
    <w:rsid w:val="005907E8"/>
    <w:rsid w:val="00592643"/>
    <w:rsid w:val="00596EF8"/>
    <w:rsid w:val="005A50E7"/>
    <w:rsid w:val="005A61D4"/>
    <w:rsid w:val="005D5DBC"/>
    <w:rsid w:val="005E3650"/>
    <w:rsid w:val="005F5467"/>
    <w:rsid w:val="00604627"/>
    <w:rsid w:val="00605A65"/>
    <w:rsid w:val="0060737B"/>
    <w:rsid w:val="00632F18"/>
    <w:rsid w:val="00652575"/>
    <w:rsid w:val="00654BFD"/>
    <w:rsid w:val="0066049C"/>
    <w:rsid w:val="00674695"/>
    <w:rsid w:val="006778F3"/>
    <w:rsid w:val="0068521C"/>
    <w:rsid w:val="006A7739"/>
    <w:rsid w:val="006A7ECA"/>
    <w:rsid w:val="006C4DA2"/>
    <w:rsid w:val="006C644A"/>
    <w:rsid w:val="006D315B"/>
    <w:rsid w:val="006D7D08"/>
    <w:rsid w:val="006E122E"/>
    <w:rsid w:val="006E36C9"/>
    <w:rsid w:val="006E60CF"/>
    <w:rsid w:val="007015C7"/>
    <w:rsid w:val="00703CA0"/>
    <w:rsid w:val="00713361"/>
    <w:rsid w:val="00714E88"/>
    <w:rsid w:val="00720574"/>
    <w:rsid w:val="00722CD5"/>
    <w:rsid w:val="0073670C"/>
    <w:rsid w:val="0074691A"/>
    <w:rsid w:val="007637C6"/>
    <w:rsid w:val="00766BB6"/>
    <w:rsid w:val="00784CB1"/>
    <w:rsid w:val="007A1AE6"/>
    <w:rsid w:val="007A4EB6"/>
    <w:rsid w:val="007C1215"/>
    <w:rsid w:val="007D36BB"/>
    <w:rsid w:val="007D3904"/>
    <w:rsid w:val="007D723B"/>
    <w:rsid w:val="007E6D66"/>
    <w:rsid w:val="00800350"/>
    <w:rsid w:val="008218AB"/>
    <w:rsid w:val="008402DF"/>
    <w:rsid w:val="00840ED2"/>
    <w:rsid w:val="00850267"/>
    <w:rsid w:val="00852E3E"/>
    <w:rsid w:val="0086585D"/>
    <w:rsid w:val="00883089"/>
    <w:rsid w:val="00883485"/>
    <w:rsid w:val="008C2C5F"/>
    <w:rsid w:val="008D37A6"/>
    <w:rsid w:val="008D6155"/>
    <w:rsid w:val="008E008F"/>
    <w:rsid w:val="00902C35"/>
    <w:rsid w:val="00902CED"/>
    <w:rsid w:val="00937A74"/>
    <w:rsid w:val="0094731C"/>
    <w:rsid w:val="009823E6"/>
    <w:rsid w:val="00985F85"/>
    <w:rsid w:val="00986515"/>
    <w:rsid w:val="0099001C"/>
    <w:rsid w:val="00991C19"/>
    <w:rsid w:val="00995DBA"/>
    <w:rsid w:val="009B0218"/>
    <w:rsid w:val="009B1CFC"/>
    <w:rsid w:val="009C0CE5"/>
    <w:rsid w:val="009D67EC"/>
    <w:rsid w:val="009E0FCE"/>
    <w:rsid w:val="009E22B4"/>
    <w:rsid w:val="009E2425"/>
    <w:rsid w:val="009F27DF"/>
    <w:rsid w:val="00A01497"/>
    <w:rsid w:val="00A3194A"/>
    <w:rsid w:val="00A354B5"/>
    <w:rsid w:val="00A4019E"/>
    <w:rsid w:val="00A42976"/>
    <w:rsid w:val="00A52317"/>
    <w:rsid w:val="00A61F7C"/>
    <w:rsid w:val="00A83912"/>
    <w:rsid w:val="00A84B9B"/>
    <w:rsid w:val="00A904BC"/>
    <w:rsid w:val="00A96C34"/>
    <w:rsid w:val="00AB0104"/>
    <w:rsid w:val="00AC2806"/>
    <w:rsid w:val="00AC586D"/>
    <w:rsid w:val="00AE0A4F"/>
    <w:rsid w:val="00AE329E"/>
    <w:rsid w:val="00AF2ABB"/>
    <w:rsid w:val="00B046D1"/>
    <w:rsid w:val="00B059BF"/>
    <w:rsid w:val="00B12D84"/>
    <w:rsid w:val="00B23A6E"/>
    <w:rsid w:val="00B278A1"/>
    <w:rsid w:val="00B438F1"/>
    <w:rsid w:val="00B54CA0"/>
    <w:rsid w:val="00B6317C"/>
    <w:rsid w:val="00B650E7"/>
    <w:rsid w:val="00B70457"/>
    <w:rsid w:val="00B719AF"/>
    <w:rsid w:val="00B84E96"/>
    <w:rsid w:val="00B9671B"/>
    <w:rsid w:val="00BA293C"/>
    <w:rsid w:val="00BB1232"/>
    <w:rsid w:val="00BB5443"/>
    <w:rsid w:val="00BC3928"/>
    <w:rsid w:val="00BC5010"/>
    <w:rsid w:val="00BD0B18"/>
    <w:rsid w:val="00BD3F0C"/>
    <w:rsid w:val="00BD5C6D"/>
    <w:rsid w:val="00BD7A40"/>
    <w:rsid w:val="00BE5C98"/>
    <w:rsid w:val="00C03996"/>
    <w:rsid w:val="00C16AE5"/>
    <w:rsid w:val="00C23A59"/>
    <w:rsid w:val="00C4143A"/>
    <w:rsid w:val="00C42922"/>
    <w:rsid w:val="00C57B0C"/>
    <w:rsid w:val="00C7596C"/>
    <w:rsid w:val="00C860A0"/>
    <w:rsid w:val="00C902DB"/>
    <w:rsid w:val="00C90BE9"/>
    <w:rsid w:val="00C968F3"/>
    <w:rsid w:val="00CD2742"/>
    <w:rsid w:val="00CD73B5"/>
    <w:rsid w:val="00CE79CF"/>
    <w:rsid w:val="00CF5DBE"/>
    <w:rsid w:val="00D0221F"/>
    <w:rsid w:val="00D17B2E"/>
    <w:rsid w:val="00D41CE8"/>
    <w:rsid w:val="00D45216"/>
    <w:rsid w:val="00D56CA3"/>
    <w:rsid w:val="00D66223"/>
    <w:rsid w:val="00D7141F"/>
    <w:rsid w:val="00D74931"/>
    <w:rsid w:val="00D76A80"/>
    <w:rsid w:val="00D81BAB"/>
    <w:rsid w:val="00D81F97"/>
    <w:rsid w:val="00DA3FF6"/>
    <w:rsid w:val="00DB2898"/>
    <w:rsid w:val="00DC6B5C"/>
    <w:rsid w:val="00DE0AC5"/>
    <w:rsid w:val="00DE4942"/>
    <w:rsid w:val="00DE6917"/>
    <w:rsid w:val="00DF71F2"/>
    <w:rsid w:val="00E0232D"/>
    <w:rsid w:val="00E03C19"/>
    <w:rsid w:val="00E05B63"/>
    <w:rsid w:val="00E258DE"/>
    <w:rsid w:val="00E403F0"/>
    <w:rsid w:val="00E5549B"/>
    <w:rsid w:val="00E81CE7"/>
    <w:rsid w:val="00E9130B"/>
    <w:rsid w:val="00E91589"/>
    <w:rsid w:val="00E97559"/>
    <w:rsid w:val="00EA36C1"/>
    <w:rsid w:val="00EA7EBF"/>
    <w:rsid w:val="00EC38AA"/>
    <w:rsid w:val="00EF76AB"/>
    <w:rsid w:val="00F018F6"/>
    <w:rsid w:val="00F17CE6"/>
    <w:rsid w:val="00F261D0"/>
    <w:rsid w:val="00F326F9"/>
    <w:rsid w:val="00F36765"/>
    <w:rsid w:val="00F37A6F"/>
    <w:rsid w:val="00F42795"/>
    <w:rsid w:val="00F47E54"/>
    <w:rsid w:val="00F51F25"/>
    <w:rsid w:val="00F5454F"/>
    <w:rsid w:val="00F5637B"/>
    <w:rsid w:val="00F71D45"/>
    <w:rsid w:val="00FB46C4"/>
    <w:rsid w:val="00FC5C88"/>
    <w:rsid w:val="00FC77B5"/>
    <w:rsid w:val="00FC7F1C"/>
    <w:rsid w:val="00FE0AA8"/>
    <w:rsid w:val="00FE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AF"/>
  </w:style>
  <w:style w:type="paragraph" w:styleId="2">
    <w:name w:val="heading 2"/>
    <w:basedOn w:val="a"/>
    <w:link w:val="20"/>
    <w:uiPriority w:val="9"/>
    <w:qFormat/>
    <w:rsid w:val="00902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26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4810"/>
  </w:style>
  <w:style w:type="paragraph" w:customStyle="1" w:styleId="a5">
    <w:name w:val="a5"/>
    <w:basedOn w:val="a"/>
    <w:rsid w:val="0072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72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4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49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0418"/>
    <w:pPr>
      <w:ind w:left="720"/>
      <w:contextualSpacing/>
    </w:pPr>
  </w:style>
  <w:style w:type="character" w:customStyle="1" w:styleId="st">
    <w:name w:val="st"/>
    <w:basedOn w:val="a0"/>
    <w:rsid w:val="00C860A0"/>
  </w:style>
  <w:style w:type="paragraph" w:customStyle="1" w:styleId="rvps2">
    <w:name w:val="rvps2"/>
    <w:basedOn w:val="a"/>
    <w:rsid w:val="008C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38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b">
    <w:name w:val="Нормальний текст"/>
    <w:basedOn w:val="a"/>
    <w:rsid w:val="00B7045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B7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0457"/>
  </w:style>
  <w:style w:type="paragraph" w:styleId="ae">
    <w:name w:val="footer"/>
    <w:basedOn w:val="a"/>
    <w:link w:val="af"/>
    <w:uiPriority w:val="99"/>
    <w:unhideWhenUsed/>
    <w:rsid w:val="00B7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70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A13D-DCFA-4F48-9383-515A01E6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User</cp:lastModifiedBy>
  <cp:revision>4</cp:revision>
  <cp:lastPrinted>2018-06-25T11:30:00Z</cp:lastPrinted>
  <dcterms:created xsi:type="dcterms:W3CDTF">2018-06-27T12:31:00Z</dcterms:created>
  <dcterms:modified xsi:type="dcterms:W3CDTF">2018-06-27T13:32:00Z</dcterms:modified>
</cp:coreProperties>
</file>